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DATI PERSONALI: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Cognome: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Villafañe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Jorge Hugo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Cittadinanza: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Italiana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Residenza: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Reg. Generala 11/16, (10045) Piossasco. Italia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C.F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VLLJGH77P30Z600Y -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P.IVA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08672690016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Cell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+39-3395857563 -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Fax: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+39(011) 9065495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mail@villafane.</w:t>
        </w:r>
      </w:hyperlink>
      <w:hyperlink r:id="rId6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none"/>
            <w:vertAlign w:val="baseline"/>
            <w:rtl w:val="0"/>
          </w:rPr>
          <w:t xml:space="preserve">it</w:t>
        </w:r>
      </w:hyperlink>
      <w:r w:rsidDel="00000000" w:rsidR="00000000" w:rsidRPr="00000000">
        <w:rPr>
          <w:rFonts w:ascii="Arial" w:cs="Arial" w:eastAsia="Arial" w:hAnsi="Arial"/>
          <w:b w:val="0"/>
          <w:color w:val="0000ff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web: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www.villafane.it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H-Index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: 6 (ISI Web of Science)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STUDI: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2009-2012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Dottore di Ricerca (Ph.D).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Dipartimento di Fisioterapia, Terapia Occupazionale, Riabilitazione e Medicina Fisica. Facoltà di Medicina. Università Rey Juan Carlos. Spagna.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2008-2009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Master Universitario in Terapie Manuali (MSc).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Universidad Europea de Madrid. Spagna.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2008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Omologazione a Grado Accademico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Laurea Magistrale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Ministerio de Ciencia e Innovación. Spagna.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2003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Riconoscimento del titolo di “Licenciado en Kinesiología y Fisioterapia” all’esercizio della professione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Fisioterapista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Ministero della Sanità. Italia.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1997-2001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Laurea Magistrale in Kinesiología e Fisioterapia (PT)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Universidad Nacional de Córdoba. Argentina.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1991-1996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Tecnico elettromeccanico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Scuola E.N.E.T N°1 Gral. Savio. Río Tercero. Argentina.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ATTIVITA’ SVOLTE: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2015-presente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Consulente scientifico presso IRCCS Istituto Ortopedico Galeazzi, Milano, Italia.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2013-presente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Ricercatore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presso IRCCS Fondazione Don Gnocchi, Milano, Italia.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2003-presente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Svolge la professione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Fisioterapista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come libero professionista.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1991-1996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Come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atleta argentino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partecipai a livello nazionale nelle categorie allievi-juniores ottenendo diversi titoli e records.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PUBBLICAZIONI: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i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Silva GB, Fernandez-Carnero J. </w:t>
      </w:r>
      <w:hyperlink r:id="rId9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Short-term effects of neurodynamic mobilization in 15 patients with secondary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Manipulative Physiol Ther.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2011 Sep;34(7):449-56.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i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Silva GB, Diaz-Parreño SA, Fernandez-Carnero J. </w:t>
      </w:r>
      <w:hyperlink r:id="rId10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Hypoalgesic and motor effects of kaltenborn mobilization on elderly patients with secondary thumb carpometacarpal osteoarthritis: a randomized controlled trial.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Manipulative Physiol Ther.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2011 Oct;34(8):547-56.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Silva GB, Bishop MD, Fernandez-Carnero J. </w:t>
      </w:r>
      <w:hyperlink r:id="rId11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Radial nerve mobilization decreases pain sensitivity and improves motor performance in patients with thumb carpometacarpal osteoarthritis: a randomized controlled trial.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Arch Phys Med Rehabil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2012 Mar;93(3):396-403.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Silva GB, Fernandez-Carnero J. </w:t>
      </w:r>
      <w:hyperlink r:id="rId12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Effect of thumb joint mobilization on pressure pain threshold in elderly patients with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J Manipulative Physiol Ther.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2012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Feb;35(2):110-20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Silva GB, Dughera A. </w:t>
      </w:r>
      <w:hyperlink r:id="rId13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Manipulative and rehabilitative therapy as a treatment of idiopathic scoliosis without psychological sequelae: a case report.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Chiropr Med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000033"/>
          <w:sz w:val="20"/>
          <w:szCs w:val="20"/>
          <w:vertAlign w:val="baseline"/>
          <w:rtl w:val="0"/>
        </w:rPr>
        <w:t xml:space="preserve"> 2012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Jun;11(2):109-114.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Silva GB, Chiarotto A. </w:t>
      </w:r>
      <w:hyperlink r:id="rId14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Effects of passive upper extremity joint mobilization on pain sensitivity and function in participants with secondary carpometacarpal osteoarthritis: a case series.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Manipulative Physiol Ther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 2012 Nov;35(9):735-742.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Silva GB, Chiarotto A, Ragusa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OL. </w:t>
      </w:r>
      <w:hyperlink r:id="rId15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Botulinum toxin type A combined with neurodynamic mobilization for upper limb spasticity after stroke: a case report.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Chiropr Med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 2012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Sep;11(3):186-191.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Fernandez-de-las-Peñas C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Pillastrini P.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Botulinum toxin type A combined with cervical spine manual therapy for masseteric hypertrophy in a patient with Alzheimer-type dementia: a case report.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J Chiropr Med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000033"/>
          <w:sz w:val="20"/>
          <w:szCs w:val="20"/>
          <w:vertAlign w:val="baseline"/>
          <w:rtl w:val="0"/>
        </w:rPr>
        <w:t xml:space="preserve"> 2012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Dec;11(4):280-285.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Botulinum toxin type A combined with neurodynamic mobilization for lower limb spasticity: a case report.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J Chiropr Med.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2013. Mar;12(1):39-44</w:t>
      </w:r>
      <w:r w:rsidDel="00000000" w:rsidR="00000000" w:rsidRPr="00000000">
        <w:rPr>
          <w:rFonts w:ascii="Arial" w:cs="Arial" w:eastAsia="Arial" w:hAnsi="Arial"/>
          <w:b w:val="0"/>
          <w:color w:val="000033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Bishop MD,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Fernandez-de-las-Peñas C,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Langford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D. </w:t>
      </w:r>
      <w:hyperlink r:id="rId18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Radial nerve mobilisation had bilateral sensory effects in people with thumb carpometacarpal osteoarthritis: a randomised trial.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J Physiother. 2013 Mar;59(1):25-30.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Cleland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J. A, Fernández-de-las-Peñas C. </w:t>
      </w:r>
      <w:hyperlink r:id="rId19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The effectiveness of a manual therapy and exercise protocol in patients with thumb carpometacarpal osteoarthritis: a randomized controlled trial.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Orthop Sports Phys Ther.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2013 Apr;43(4):204-213.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Valdes K. </w:t>
      </w:r>
      <w:hyperlink r:id="rId20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Combined thumb abduction and index finger extension strength: a comparison of older adults with and without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J Manipulative Physiol Ther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2013 May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;36(4):238-244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Cleland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J. A,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Fernandez-de-las-Peñas C. </w:t>
      </w:r>
      <w:hyperlink r:id="rId21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Bilateral sensory effects of unilateral passive accessory mobilization in patients with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J Manipulative Physiol Ther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2013 May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;36(4):232-237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Langford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D, Alguacil-Diego IM, Fernandez-Carnero J. </w:t>
      </w:r>
      <w:hyperlink r:id="rId22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Management of trapeziometacarpal osteoarthritis pain and dysfunction using mobilization with movement technique in combination with kinesiology tape: a case report.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J Chiropr Med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2013 Jun;12(2):79-86.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Bertozzi L, Gardenghi I, Turoni F,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Guccione AA, Pillastrini P. </w:t>
      </w:r>
      <w:hyperlink r:id="rId23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Effect of therapeutic exercise on pain and disability in the management of chronic nonspecific neck pain: systematic review and meta-analysis of randomized trials.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Phys Ther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2013 Aug;93(8):1026-36.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Negrini S, Imperio G,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Negrini F, Zaina F. </w:t>
      </w:r>
      <w:hyperlink r:id="rId24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Systematic reviews of physical and rehabilitation medicine Cochrane contents. Part 1. Disabilities due to spinal disorders and pain syndromes in adults.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Eur J Phys Rehabil Med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2013 Aug;49(4):597-610.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Chiarotto A,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Fernandez-de-las-Peñas C,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Castaldo M, Negrini S,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</w:t>
      </w:r>
      <w:hyperlink r:id="rId25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Widespread pressure pain hypersensitivity in elderly subjects with unilateral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Hand (NY)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2013 ;8(4):422-429.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Pillastrini P, Borboni 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 </w:t>
      </w:r>
      <w:hyperlink r:id="rId26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Manual therapy and neurodynamic mobilization in a patient with peroneal nerve paralysis: a case report.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Chiropr Med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2013 Sep;12(3):176-181.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Pillastrini P, Bonfiglioli R, Valpiani G,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Vanti C, Violante FS. </w:t>
      </w:r>
      <w:hyperlink r:id="rId27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The effect of a multimodal group programme in hospital workers with persistent low back pain: a prospective observational study.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Med Lav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2013 Sep-Oct;104(5):368-79.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Chiarotto A, Fernandez-de-las-Peñas C, Castaldo M,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</w:t>
      </w:r>
      <w:hyperlink r:id="rId28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Bilateral Pressure Pain Hypersensitivity over the Hand as Potential Sign of Sensitization Mechanisms in Individuals with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Pain Med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2013 Oct;14(10):1585-92.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arazza S, Vanti C, O’Reilly C,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Tricas-Moreno J.M, Estebanez-de Miguel E. </w:t>
      </w:r>
      <w:hyperlink r:id="rId29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The relationship between cervical flexor endurance, cervical extensor endurance, VAS, and disability in subjects with neck pain.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Chiropr Man Therap.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2014 Mar 3;22(1):10. [Epub ahead of print]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Bissolotti L,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Gobbo M,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Negrini S. </w:t>
      </w:r>
      <w:hyperlink r:id="rId30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Spinopelvic balance: new biomechanical insights with clinical implications for Parkinson's disease.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Eur Spine J.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2014 Mar;23(3):576-83.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Taveggia G,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Vavassori F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Lecchi C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Borboni A,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Negrini S. </w:t>
      </w:r>
      <w:hyperlink r:id="rId31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Multimodal Treatment of Distal Sensorimotor Polyneuropathy in Diabetic Patients: A Randomized Clinical Trial.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J Manipulative Physiol Ther.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2014 May;37(4):242-52.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Castaldo M, Ge HY, Chiarotto 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Arendt-Nielsen L. </w:t>
      </w:r>
      <w:r w:rsidDel="00000000" w:rsidR="00000000" w:rsidRPr="00000000">
        <w:rPr>
          <w:rFonts w:ascii="Arial" w:cs="Arial" w:eastAsia="Arial" w:hAnsi="Arial"/>
          <w:b w:val="0"/>
          <w:color w:val="0000ff"/>
          <w:sz w:val="20"/>
          <w:szCs w:val="20"/>
          <w:u w:val="single"/>
          <w:vertAlign w:val="baseline"/>
          <w:rtl w:val="0"/>
        </w:rPr>
        <w:t xml:space="preserve">Myofascial Trigger Points in Patients with Whiplash-Associated Disorders and Mechanical Neck Pain.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Pain Med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2014 May;15(5):842-9.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Isgrò M, Buraschi R, Barbieri C, Baruzzi E, Imperio G, Noro F,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Negrini S. Conservative management of degenerative disorders of the spine.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J Neurosurg Sci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2014 Jun;58(2 suppl):73-6.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Fernandez-d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e-las-Peñas C, Silva GB, Negrini S. </w:t>
      </w:r>
      <w:hyperlink r:id="rId32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Contralateral sensory and motor effects of unilateral kaltenborn mobilization in patients with thumb carpometacarpal osteoarthritis: a secondary analysis.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Phys Ther Sci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2014 Jun;26(6):807-12</w:t>
      </w:r>
      <w:r w:rsidDel="00000000" w:rsidR="00000000" w:rsidRPr="00000000">
        <w:rPr>
          <w:rFonts w:ascii="Arial" w:cs="Arial" w:eastAsia="Arial" w:hAnsi="Arial"/>
          <w:b w:val="0"/>
          <w:color w:val="1f497d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Valdes K. </w:t>
      </w:r>
      <w:hyperlink r:id="rId33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Reliability of pinch strength testing in elderly subjects with unilateral thumb carpometacarpal osteoarthritis.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J Phys Ther Sci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2014</w:t>
      </w:r>
      <w:r w:rsidDel="00000000" w:rsidR="00000000" w:rsidRPr="00000000">
        <w:rPr>
          <w:rFonts w:ascii="Arial" w:cs="Arial" w:eastAsia="Arial" w:hAnsi="Arial"/>
          <w:b w:val="0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Jul;26(7):993-5</w:t>
      </w:r>
      <w:r w:rsidDel="00000000" w:rsidR="00000000" w:rsidRPr="00000000">
        <w:rPr>
          <w:rFonts w:ascii="Arial" w:cs="Arial" w:eastAsia="Arial" w:hAnsi="Arial"/>
          <w:b w:val="0"/>
          <w:color w:val="1f497d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Bissolotti L, Donzelli S, Gobbo M, Zaina F,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Negrini S. Scoliosis and sagittal balance in Parkinson's Disease: analysis of correlations. Scoliosis 2014, 9(Suppl 1):O38.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Bissolotti L, Gobbo M,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Negrini S. Spinopelvic balance: new biomechanical insights with clinical implications for Parkinson’s Disease. Scoliosis 2014, 9(Suppl 1):O41.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Bertozzi L,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Capra F, Reci M, Pillastrini P. </w:t>
      </w:r>
      <w:hyperlink r:id="rId34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Effect of an Exercise Programme for the Prevention of Back and Neck Pain in Poultry Slaughterhouse Workers.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Occup Ther Int.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2015 Mar;22(1):36-42.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Valdes K. </w:t>
      </w:r>
      <w:hyperlink r:id="rId35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Mobilization with movement and elastic tape application for the conservative management of carpometacarpal joint osteoarthritis.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J Hand Ther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2015 Jan-Mar;28(1):82-5.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Zanetti L, Isgrò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M, Cleland JA, Bertozzi L,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Gobbo M,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Negrini S. </w:t>
      </w:r>
      <w:hyperlink r:id="rId36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Methods for the assessment of neuromotor capacity in non-specific low back pain: Validity and applicability in everyday clinical practice.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Back Musculoskelet Rehabil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2015;28(2):201-214.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Rainoldi L, Zaina F,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Donzelli S, Negrini S. </w:t>
      </w:r>
      <w:hyperlink r:id="rId37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Quality of Life in Normal and Idiopathic Scoliosis Adolescents before diagnosis: reference values and discriminative validity of the SRS-22. A cross-sectional study of 1205 pupils.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Spine J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2015 Apr 1;15(4):662-7.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Pillastrini P, Ferrari S, Rattin S, Cupello A,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Vanti C. Exercise and multifidus tropism in low back pain. A short review.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J Phys Ther Sci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2015 Mar 31; 27(3):943-945.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Testa A, Galeri S,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Corbellini C, Pillastrini P, Negrini S. </w:t>
      </w:r>
      <w:hyperlink r:id="rId38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Efficacy of short-term intrapulmonary percussive ventilation in patients with chronic obstructive pulmonary disease.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Disabil Rehabil.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2015;37(10):899-903.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Bertozzi L, Valdes K, Vanti C, Negrini S, Pillastrini P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 </w:t>
      </w:r>
      <w:hyperlink r:id="rId39">
        <w:r w:rsidDel="00000000" w:rsidR="00000000" w:rsidRPr="00000000">
          <w:rPr>
            <w:rFonts w:ascii="Arial" w:cs="Arial" w:eastAsia="Arial" w:hAnsi="Arial"/>
            <w:b w:val="0"/>
            <w:color w:val="2222cc"/>
            <w:sz w:val="20"/>
            <w:szCs w:val="20"/>
            <w:u w:val="single"/>
            <w:vertAlign w:val="baseline"/>
            <w:rtl w:val="0"/>
          </w:rPr>
          <w:t xml:space="preserve">Investigation of the effect of conservative interventions in thumb carpometacarpal osteoarthritis: systematic review and meta-analysis.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vertAlign w:val="baseline"/>
          <w:rtl w:val="0"/>
        </w:rPr>
        <w:t xml:space="preserve"> Disabil Rehabil.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2015 Jan 5:1-19.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Valdes K, Bertozzi L, Negrini S. </w:t>
      </w:r>
      <w:r w:rsidDel="00000000" w:rsidR="00000000" w:rsidRPr="00000000">
        <w:rPr>
          <w:rFonts w:ascii="Arial" w:cs="Arial" w:eastAsia="Arial" w:hAnsi="Arial"/>
          <w:b w:val="0"/>
          <w:color w:val="2222cc"/>
          <w:sz w:val="20"/>
          <w:szCs w:val="20"/>
          <w:u w:val="single"/>
          <w:vertAlign w:val="baseline"/>
          <w:rtl w:val="0"/>
        </w:rPr>
        <w:t xml:space="preserve">Minimal Clinically Important Difference of Grip and Pinch Strength in Women With Thumb Carpometacarpal Osteoarthritis When Compared to Healthy Subjects.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Rehabil Nurs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2014 Dec 31. doi: 10.1002/rnj.196.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Ferrari S, Manni T, Bonetti F,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 Vanti C.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Tests for Lumbar Instability in Low Back Pain: Validity and Applicability in Everyday Clinical Practice. A Systematic Review.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 Chiropr Man Therap.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Proof.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Valdes K, Vanti C, Pillastrini P, Borboni A. Reliability of Handgrip Strength Test in Elderly Subjects with Unilateral Thumb Carpometacarpal Osteoarthritis.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Hand(NY)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2015.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In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Valdes K, Diaz-Parreño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SA, Pillastrini P, Negrini S.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Ulnar Digits contribution to Grip Strength in Patients with Thumb Carpo-metacarpal Osteoarthritis is less than in normal controls.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Hand(NY)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2015.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In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Morozzo U,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Ieropoli G, Zompi SC, Cleland JA, Navissano M, Malan F. Soft tissue reconstructions with Dermal Substitutes versus alternative approaches in patients with traumatic complex wounds.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Indian J Surg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In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Valdes K, Anselmi F, Pirali C, Negrini S. The Validity of the physical examination in diagnosing partial-thickness tears of the supraspinatus tendon: A cohort study.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Hand Ther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doi.org/10.1016/j.jht.2015.01.011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Valdes K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Letter to the editor: Conservative treatment of thumb base osteoarthritis: A systematic review.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J Hand Surg Am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DOI: 10.1016/j.jhsa.2015.01.046.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vertAlign w:val="baseline"/>
          <w:rtl w:val="0"/>
        </w:rPr>
        <w:t xml:space="preserve">, Castaldo M,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Borboni A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Physiotherapeutic management of a 54-year-old male with Tinnitus disease: a Case Report.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J Chiropr Med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2014.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Delfa-de-la-Morena J.M, Alguacil-Diego I.M, Molina-Rueda F, Ramiro-González M,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Fernandez-Carnero J. Mulligan ankle tape does not influence Computerized Dynamic Posturography in healthy individuals: Randomized Clinical Trial.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J Phys Ther Sci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Corbellini C, Eilert-Trevisan C,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Doval-da-Costa A, Rios-Vieira SR. Weaning from mechanical ventilation: a cross-sectional study of reference values and the discriminative validity of aging.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Phys Ther Sci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2015.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Bissolotti L, Donzelli S,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Gobbo M,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Negrini S.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In Parkinson’s Disease patients scoliosis is associated with a sagittal balance perturbation, but not with length or severity of disease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AJMR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Thumb Carpometacarpal Osteoarthritis in a Seamstress: A Case Report.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Applied Mechanics and Materials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2015.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Fausti D, Petrogalli G,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Faglia R. Study, design and preliminary tests of an automatic device for elbow rehabilitation.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Applied Mechanics and Materials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2015.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Ismael, Banfi, Villafañe JH, Berjano P. Fusion rate following extreme lateral lumbar interbody fusion.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Eur Spine J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2015.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Berjano P, Cecchinato, Sinigaglia, Damilano, Ismael, Martini,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Lamartina. Anterior Column Realignment from a lateral approach for the treatment of severe sagittal imbalance: a retrospective radiographic study.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Eur Spine J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2015.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szCs w:val="24"/>
          <w:vertAlign w:val="baseline"/>
          <w:rtl w:val="0"/>
        </w:rPr>
        <w:t xml:space="preserve">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vertAlign w:val="baseline"/>
          <w:rtl w:val="0"/>
        </w:rPr>
        <w:t xml:space="preserve">, Gobbo M, Peranzoni M, Imperio G, Cleland JA, Negrini S. Validity and everyday clinical applicability of lumbar muscle fatigue assessment methods in patients with chronic non-specific low back pain: a systematic review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. Disabil Rehabil.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In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Borboni A, Adamini R, Solazzi L,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 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Faglia R, De Santis D. Non-Linear, Elastic, Asymmetric Material Cantilever Beam in Large Deflection under Vertical Constant Load.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Open Mech Eng J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In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Borboni 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Mulè C, Taveggia R, Valdes K,  Faglia R, Negrini S. Robot-Assisted Rehabilitation of Hand Paralysis after Stroke: A Prospective Clinical Trial.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J Manipulative Physiol Ther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In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Perucchini D, Cleland J, Barbieri C, Negrini S.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The Effectiveness of a Cognitive Behavioral Exercise Approach (CBEA) Compared to Usual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Care in Patients with a Whiplash Associated Disorder: A Quasi-experimental Clinical Trial.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Back Musculoskelet.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Manno S,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Dughi 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Testa A, Bishop MD, Pirali C, Negrini S. Association between of malnutrition with changes in Barthel Index in an elderly community hospitalized.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Asian Nurs Res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Mulle C, Galeri S, Imperio G, Bissolotti L, ValdesK, Borboni A, Negrini.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Efficacy of Short-Term Robot-Assisted Rehabilitation in Patients With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Hand Paralysis after Stroke: 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multicenter randomized clinical trial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JoP. 2015.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Valdes K, Buraschi R, Martinelli M, Bissolotti L, Negrini S. Reliability of the Handgrip Strength Test in Elderly Subjects with Parkinson Disease.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Hand (NY). 2015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Pillastrini P, Rocchi G, Deserri D, Fosichi P, Naldi MT,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Bertozzi L.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Effectiveness of Neuromuscular Taping on Painful Hemiplegic Shoulder: a randomised trial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Disabil Rehabil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2015.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Submitted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Pirali C, Buraschi R, Arienti C, Corbellini C, Negrini S. Moving forward in fall prevention: An Intervention to improve balance among patients in a quasi-experimental study of hospitalized patients.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Jpn J Nurs Sci.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Negrini S, Poma S, Donzelli S, Balzarini L, Borboni A, Respizzi S,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Zaina F. State of the art of actual 3-D scoliosis classifications: a systematic review from a clinical perspective.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Eur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Spine J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Vanti C, Ferrrari S,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Monticone M. Responsiveness of the Bridge maneuvers in subjects with symptomatic lumbar spondylolisthesis: a prospective cohort study.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Sport Rehabil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López-de-Uralde-Villanueva I, Beltran-Alacreu H, Fernández-Carnero J, Villafañe JH, La Touche R. Effectiveness of therapeutic patient education based on a biobehavioral approach combined with manual therapy and therapeutic exercise in reducing chronic nonspecific neck pain: a single-blind, randomized controlled trial.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Eur J Phys Rehabil Med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Ieropoli G, Morozzo U, Zompi SC,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Minimally invasive plate osteosynthesis using a locking compression plate for distal tibial and calcaneus fractures.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Indian J Orthop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.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 Marco, Vanti C, Pillastrini P,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Romeo A. Structural and functional change of cervical neuromuscular system associated with insidious Onset Neck Pain. A literature review.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Funct Neurol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Valdes K, Berjano P, Wajon A. Comment. Clinical update: conservative management of carpometacarpal joint osteoarthritis.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Rehumatol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2015.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Bertozzi L, Rosso A, Romeo A,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Guccione A, Pillastrini P, Vanti C. The accuracy of Pain Drawing in identifyning psychoogical distress in low back pain: Systematic review and meta-analysis of diagnostic studies.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Pain Practice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2015.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Furnari A, Sabattini P, Buttacchio G, Tebaldi S, Mapelli A, Farini E, Bonassi U, Casale R,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Borboni A. Robotic-assisted gait training in Parkinson’s Disease: a Randomized Clinical Trial.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Clin Neurosci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Vanti C, Ferrari S,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 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Berjano P, Monticone M. Responsiveness and Minimum Important Change of the Oswestry Disability Index in Italian subjects with Symptomatic Lumbar Spondylolisthesis.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Eur Spine J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Negrini S, Bissolotti L, Ferraris A, Noro F, Bishop MD,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10 outpatient sessions of Nintendo Wii Fit for Balance Rehabilitation are enough in Patients with Parkinson’s Disease: A prospective controlled cohort Study.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J Gerontol Nurs.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Corbellini C, Berjano P, Cocchetti A, Polli B, Rossino E, Ruffinato L, Massaccesi R, Villafañe JH. The role of the thoracic cyrtometry in a rehabilitation program.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  <w:rtl w:val="0"/>
        </w:rPr>
        <w:t xml:space="preserve">Rehabil Nurs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Bissolotti L, Gobbo M, Gaffurini P, Orizio C, Valdes K,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Negrini S. Changes in Skeletal Muscle Perfusion and Spasticity on Patients  with Post-stroke Hemiparesis Treated by Robotic Assistance (Gloreha) of Hand.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4"/>
          <w:szCs w:val="24"/>
          <w:vertAlign w:val="baseline"/>
          <w:rtl w:val="0"/>
        </w:rPr>
        <w:t xml:space="preserve">Hand (NY)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. 2015.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Taveggia G, Borboni A, Mullé C,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Negrini S. Conflicting of results of Robot-assisted versus usual gait training during postacute rehabilitation of stroke patients: a randomized clinical trial.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4"/>
          <w:szCs w:val="24"/>
          <w:vertAlign w:val="baseline"/>
          <w:rtl w:val="0"/>
        </w:rPr>
        <w:t xml:space="preserve">AJMR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 2015. In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Resende F, Vanti C,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Trani Brandão JG, Oliveira Amorim JB, Guccione 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Pillastrini P. The effect of global postural reeducation on musculoskeletal pain and on body weight distribution in sitting posture: A pilot study.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4"/>
          <w:szCs w:val="24"/>
          <w:vertAlign w:val="baseline"/>
          <w:rtl w:val="0"/>
        </w:rPr>
        <w:t xml:space="preserve">Rehab Nurs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. 2015.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Margelli M,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Vanti C. Dysphagia associated to anterior cervical disc protrusion: A case report.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J Chiropr Med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 2015.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vertAlign w:val="baseline"/>
          <w:rtl w:val="0"/>
        </w:rPr>
        <w:t xml:space="preserve">In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Revisore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American Journal of Physical Medicine &amp; Rehabilitation (2 times).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Journal of Chiropractic Medicine.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Journal of Manipulative and Physiological Therapeutics (3 times).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Journal of Manipulative and Physiological Therapeutics.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Clinical Anatomy.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CONFERENZE, CONGRESSI, SIMPOSI: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vertAlign w:val="baseline"/>
          <w:rtl w:val="0"/>
        </w:rPr>
        <w:t xml:space="preserve">Inviti Internazionale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“Efectos hipoalgesicos y motores de la terapia manual en adultos mayores con rizartrosis secundaria” I Congresso Internazionale di Terapia Manuale Ortopedica. Università Europea di Madrid. Spagna. Aprile 2011. Relatore.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Inviti 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Pirali C, Mariani F, Donato F, Rizzi E, Negrini S. Efficacia della medicazione con ossido di zinco del bendaggio nel trattamento riabilitativo del linfedema cronico: studio di coorte controllato. 41° Congresso Nazionale SIMFER, La ricerca in medicina riabilitativa: per una scienza del recupero. Roma. Ottobre 2013.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Poster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Fernandez-de-las-Peñas C, Silva GB. “Bilateral Sensory and Motor Effects of Unilateral Kaltenborn Mobilization in patients with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Carpo-metacarpal Osteoarthritis: Secondary analysis of a clinical trial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”. XLIX Congresso Nazionale della Società Italiana di Reumatologia (SIR). Milano. Italia. Novembre 2012. Comunicazione orale.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Silva GB, Diaz-Parreño SA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and Fernandez-Carnero J “Hypoalgesic and motor effects of Kaltenborn mobilization on elderly patients with secondary thumb carpometacarpal osteoarthritis. A randomized, controlled trial”. XLVIII Congresso Nazionale della Società Italiana di Reumatologia (SIR). Rimini. Italia. Novembre 2011.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Silva GB, Bishop MD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and Fernandez-Carnero J. “Radial nerve mobilization decreases pain sensitivity and improves motor performance in patients with thumb carpometacarpal osteoarthritis: a randomized, controlled trial”. 49° Congresso Nazionale della Società Italiana di Chirurgia della Mano”. Torino. Italia. Ottobre 2011. Comuicazione orale.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Silva GB and Fernandez-Carnero J “Median nerve mobilization decreses pain and increses strength in patients with secondary thumb carpometacarpal osteoarthritis: long-term follow-up of 15 cases”. 34° Congresso Nazionale AISD (Associazione Italia per lo Studio del Dolore). Riccione. Italia. Maggio 2011. Abstract book, p.116-8. Poster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vertAlign w:val="baseline"/>
          <w:rtl w:val="0"/>
        </w:rPr>
        <w:t xml:space="preserve">Inviti Regionale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09" w:hanging="425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Correlazioni tra strumenti di misura: dolore e forza nella pratica clinica e nella ricerca scientifica. Esempio in soggetti con rizoartrosi.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2° Congresso Scientifico A.I.Fi Piemonte-Valle D' Aosta. Turin, Marzo 2012.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PREMI O DISTINZIONI: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Ricerca corrente 2015. Efficacia del trattamento con mobilizzazione assistita robotica (Gloreha) associato al trattamento convenzionale della mano emiplegica in pazienti con esiti di ICTUS: studio preliminare. €10.627,35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Ricerca Corrente 2014. Trattamento di soggetti affetti da Malattia di Parkinson utilizzando la consolle Nintendo wii: individuazione del miglior protocollo terapeutico individualizzato. €23.046,95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Ricerca Corrente 2014. Associazione tra le alterazioni della nutrizione e lo stato funzionale del paziente anziano da riabilitare nutrizione, Barthel, MNA. €26.805,35.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Ricerca Corrente 2014. Efficacia del trattamento con esercizi associati a collare nel colpo di frusta cervicale in fase acuta. €21.626,85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Premio Extraordinario de Doctorado año 2013-2014. Universidad Rey Juan Carlos, Madrid, Spagna.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Premio “AISD per i giovani”. 36° Congresso Nazionale AISD (Associazione Italia per lo Studio del Dolore).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Le nuove frontiere della medicina del dolore. Verona. Italia. Chiarotto A, Fernandez-de-las-Peñas C, Castaldo M, Negrini S,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. “Widespread pressure pain hypersensitivity in elderly subjects with unilateral thumb carpo-metacarpal osteoarthritis”.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Dottorato di Ricerca (Ph.D),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Apto Cum Laude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, Universidad Rey Juan Carlos, Madrid.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Premio “AISD per i giovani”. 34° Congresso Nazionale AISD (Associazione Italia per lo Studio del Dolore).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Le nuove frontiere della medicina del dolore. Riccione. Italia.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Villafañe JH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Silva GB, Fernandez-Carnero J. Short-term effects of the Neurodynamic mobilization in patients with secondary thumb carpometacarpal osteoarthritis: A Cases Series study.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40" w:type="default"/>
      <w:pgSz w:h="15840" w:w="12240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972"/>
      </w:tabs>
      <w:spacing w:after="72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color w:val="000000"/>
        <w:sz w:val="24"/>
        <w:szCs w:val="24"/>
        <w:vertAlign w:val="baseline"/>
        <w:rtl w:val="0"/>
      </w:rPr>
      <w:t xml:space="preserve">Dr. Jorge H. Villafañe, Ph.D., MSc., PT</w:t>
      <w:tab/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vertAlign w:val="baseline"/>
        </w:rPr>
      </w:r>
    </w:fldSimple>
    <w:r w:rsidDel="00000000" w:rsidR="00000000" w:rsidRPr="00000000">
      <mc:AlternateContent>
        <mc:Choice Requires="wpg">
          <w:drawing>
            <wp:inline distB="0" distT="0" distL="114300" distR="114300">
              <wp:extent cx="7759700" cy="8128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5198" y="3368838"/>
                        <a:ext cx="7759700" cy="812800"/>
                        <a:chOff x="1465198" y="3368838"/>
                        <a:chExt cx="7761605" cy="822324"/>
                      </a:xfrm>
                    </wpg:grpSpPr>
                    <wpg:grpSp>
                      <wpg:cNvGrpSpPr/>
                      <wpg:grpSpPr>
                        <a:xfrm flipH="1" rot="10800000">
                          <a:off x="1465198" y="3368838"/>
                          <a:ext cx="7761605" cy="822324"/>
                          <a:chOff x="7" y="9"/>
                          <a:chExt cx="15823" cy="143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7" y="9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1849B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7" y="9"/>
                            <a:ext cx="4031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7759700" cy="8128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9700" cy="8128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2013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.xml"/><Relationship Id="rId20" Type="http://schemas.openxmlformats.org/officeDocument/2006/relationships/hyperlink" Target="http://www.ncbi.nlm.nih.gov/pubmed/23719517" TargetMode="External"/><Relationship Id="rId22" Type="http://schemas.openxmlformats.org/officeDocument/2006/relationships/hyperlink" Target="http://www.ncbi.nlm.nih.gov/pubmed/24294150" TargetMode="External"/><Relationship Id="rId21" Type="http://schemas.openxmlformats.org/officeDocument/2006/relationships/hyperlink" Target="http://www.ncbi.nlm.nih.gov/pubmed/23719518" TargetMode="External"/><Relationship Id="rId24" Type="http://schemas.openxmlformats.org/officeDocument/2006/relationships/hyperlink" Target="http://www.ncbi.nlm.nih.gov/pubmed/24084418" TargetMode="External"/><Relationship Id="rId23" Type="http://schemas.openxmlformats.org/officeDocument/2006/relationships/hyperlink" Target="http://www.ncbi.nlm.nih.gov/pubmed/23559524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cbi.nlm.nih.gov/pubmed/21875519" TargetMode="External"/><Relationship Id="rId26" Type="http://schemas.openxmlformats.org/officeDocument/2006/relationships/hyperlink" Target="http://www.ncbi.nlm.nih.gov/pubmed/24396318" TargetMode="External"/><Relationship Id="rId25" Type="http://schemas.openxmlformats.org/officeDocument/2006/relationships/hyperlink" Target="http://www.ncbi.nlm.nih.gov/pubmed/24426960" TargetMode="External"/><Relationship Id="rId28" Type="http://schemas.openxmlformats.org/officeDocument/2006/relationships/hyperlink" Target="http://www.ncbi.nlm.nih.gov/pubmed/23802919" TargetMode="External"/><Relationship Id="rId27" Type="http://schemas.openxmlformats.org/officeDocument/2006/relationships/hyperlink" Target="http://www.ncbi.nlm.nih.gov/pubmed/24180086" TargetMode="External"/><Relationship Id="rId5" Type="http://schemas.openxmlformats.org/officeDocument/2006/relationships/hyperlink" Target="mailto:mail@villafane.it" TargetMode="External"/><Relationship Id="rId6" Type="http://schemas.openxmlformats.org/officeDocument/2006/relationships/hyperlink" Target="mailto:mail@villafane.it" TargetMode="External"/><Relationship Id="rId29" Type="http://schemas.openxmlformats.org/officeDocument/2006/relationships/hyperlink" Target="http://www.ncbi.nlm.nih.gov/pubmed/24581272" TargetMode="External"/><Relationship Id="rId7" Type="http://schemas.openxmlformats.org/officeDocument/2006/relationships/hyperlink" Target="http://www.villafane.it" TargetMode="External"/><Relationship Id="rId8" Type="http://schemas.openxmlformats.org/officeDocument/2006/relationships/hyperlink" Target="http://www.villafane.it" TargetMode="External"/><Relationship Id="rId31" Type="http://schemas.openxmlformats.org/officeDocument/2006/relationships/hyperlink" Target="http://www.ncbi.nlm.nih.gov/pubmed/24656867" TargetMode="External"/><Relationship Id="rId30" Type="http://schemas.openxmlformats.org/officeDocument/2006/relationships/hyperlink" Target="http://www.ncbi.nlm.nih.gov/pubmed/24162521" TargetMode="External"/><Relationship Id="rId11" Type="http://schemas.openxmlformats.org/officeDocument/2006/relationships/hyperlink" Target="http://www.ncbi.nlm.nih.gov/pubmed/22218138" TargetMode="External"/><Relationship Id="rId33" Type="http://schemas.openxmlformats.org/officeDocument/2006/relationships/hyperlink" Target="http://www.ncbi.nlm.nih.gov/pubmed/25140081" TargetMode="External"/><Relationship Id="rId10" Type="http://schemas.openxmlformats.org/officeDocument/2006/relationships/hyperlink" Target="http://www.ncbi.nlm.nih.gov/pubmed/21899891" TargetMode="External"/><Relationship Id="rId32" Type="http://schemas.openxmlformats.org/officeDocument/2006/relationships/hyperlink" Target="http://www-ncbi-nlm-nih-gov.proxy.unibs.it/pubmed/25013272" TargetMode="External"/><Relationship Id="rId13" Type="http://schemas.openxmlformats.org/officeDocument/2006/relationships/hyperlink" Target="http://www.ncbi.nlm.nih.gov/pubmed/23204954" TargetMode="External"/><Relationship Id="rId35" Type="http://schemas.openxmlformats.org/officeDocument/2006/relationships/hyperlink" Target="http://www.ncbi.nlm.nih.gov/pubmed/25287671" TargetMode="External"/><Relationship Id="rId12" Type="http://schemas.openxmlformats.org/officeDocument/2006/relationships/hyperlink" Target="http://www.ncbi.nlm.nih.gov/pubmed/22257943" TargetMode="External"/><Relationship Id="rId34" Type="http://schemas.openxmlformats.org/officeDocument/2006/relationships/hyperlink" Target="http://www-ncbi-nlm-nih-gov.proxy.unibs.it/pubmed/25354250" TargetMode="External"/><Relationship Id="rId15" Type="http://schemas.openxmlformats.org/officeDocument/2006/relationships/hyperlink" Target="http://www.ncbi.nlm.nih.gov/pubmed/23449315" TargetMode="External"/><Relationship Id="rId37" Type="http://schemas.openxmlformats.org/officeDocument/2006/relationships/hyperlink" Target="http://www.ncbi.nlm.nih.gov/pubmed/25490612" TargetMode="External"/><Relationship Id="rId14" Type="http://schemas.openxmlformats.org/officeDocument/2006/relationships/hyperlink" Target="http://www.ncbi.nlm.nih.gov/pubmed/23206969" TargetMode="External"/><Relationship Id="rId36" Type="http://schemas.openxmlformats.org/officeDocument/2006/relationships/hyperlink" Target="http://www.ncbi.nlm.nih.gov/pubmed/25271203" TargetMode="External"/><Relationship Id="rId17" Type="http://schemas.openxmlformats.org/officeDocument/2006/relationships/hyperlink" Target="http://www.ncbi.nlm.nih.gov/pubmed/23997723" TargetMode="External"/><Relationship Id="rId39" Type="http://schemas.openxmlformats.org/officeDocument/2006/relationships/hyperlink" Target="http://www.ncbi.nlm.nih.gov/pubmed/25559974" TargetMode="External"/><Relationship Id="rId16" Type="http://schemas.openxmlformats.org/officeDocument/2006/relationships/hyperlink" Target="http://www.ncbi.nlm.nih.gov/pubmed/23843761" TargetMode="External"/><Relationship Id="rId38" Type="http://schemas.openxmlformats.org/officeDocument/2006/relationships/hyperlink" Target="http://www-ncbi-nlm-nih-gov.proxy.unibs.it/pubmed/25098596" TargetMode="External"/><Relationship Id="rId19" Type="http://schemas.openxmlformats.org/officeDocument/2006/relationships/hyperlink" Target="http://www.ncbi.nlm.nih.gov/pubmed/23485660" TargetMode="External"/><Relationship Id="rId18" Type="http://schemas.openxmlformats.org/officeDocument/2006/relationships/hyperlink" Target="http://www.ncbi.nlm.nih.gov/pubmed/23419912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